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DE8E" w14:textId="77777777" w:rsidR="007B3310" w:rsidRDefault="007B3310" w:rsidP="00AF2625"/>
    <w:p w14:paraId="7935CF37" w14:textId="34E6624F" w:rsidR="00AF2625" w:rsidRPr="00567471" w:rsidRDefault="00567471" w:rsidP="0056747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67471">
        <w:rPr>
          <w:rFonts w:ascii="Times New Roman" w:hAnsi="Times New Roman" w:cs="Times New Roman"/>
          <w:b/>
          <w:bCs/>
          <w:sz w:val="28"/>
          <w:szCs w:val="24"/>
        </w:rPr>
        <w:t>O</w:t>
      </w:r>
      <w:r w:rsidR="004469F4">
        <w:rPr>
          <w:rFonts w:ascii="Times New Roman" w:hAnsi="Times New Roman" w:cs="Times New Roman"/>
          <w:b/>
          <w:bCs/>
          <w:sz w:val="28"/>
          <w:szCs w:val="24"/>
        </w:rPr>
        <w:t>známenie o</w:t>
      </w:r>
      <w:r w:rsidR="00185EAA">
        <w:rPr>
          <w:rFonts w:ascii="Times New Roman" w:hAnsi="Times New Roman" w:cs="Times New Roman"/>
          <w:b/>
          <w:bCs/>
          <w:sz w:val="28"/>
          <w:szCs w:val="24"/>
        </w:rPr>
        <w:t> novom cenovom rozhodnutí Úradu pre reguláciu sieťových odvetví č. 0104/2023/V a určenie cien na ďalšie fakturačné obdobie.</w:t>
      </w:r>
    </w:p>
    <w:p w14:paraId="205B64D2" w14:textId="77777777" w:rsidR="00AF2625" w:rsidRPr="00AF2625" w:rsidRDefault="00AF2625" w:rsidP="00AF2625">
      <w:pPr>
        <w:rPr>
          <w:rFonts w:ascii="Times New Roman" w:hAnsi="Times New Roman" w:cs="Times New Roman"/>
          <w:sz w:val="24"/>
        </w:rPr>
      </w:pPr>
      <w:r w:rsidRPr="00AF2625">
        <w:rPr>
          <w:rFonts w:ascii="Times New Roman" w:hAnsi="Times New Roman" w:cs="Times New Roman"/>
          <w:sz w:val="24"/>
        </w:rPr>
        <w:t xml:space="preserve"> </w:t>
      </w:r>
    </w:p>
    <w:p w14:paraId="602848F1" w14:textId="77777777" w:rsidR="00185EAA" w:rsidRDefault="00AF2625" w:rsidP="00AC5738">
      <w:pPr>
        <w:rPr>
          <w:rFonts w:ascii="Times New Roman" w:hAnsi="Times New Roman" w:cs="Times New Roman"/>
          <w:sz w:val="24"/>
        </w:rPr>
      </w:pPr>
      <w:r w:rsidRPr="00AF2625">
        <w:rPr>
          <w:rFonts w:ascii="Times New Roman" w:hAnsi="Times New Roman" w:cs="Times New Roman"/>
          <w:sz w:val="24"/>
        </w:rPr>
        <w:t xml:space="preserve">               </w:t>
      </w:r>
      <w:r w:rsidR="00185EAA">
        <w:rPr>
          <w:rFonts w:ascii="Times New Roman" w:hAnsi="Times New Roman" w:cs="Times New Roman"/>
          <w:sz w:val="24"/>
        </w:rPr>
        <w:t>R</w:t>
      </w:r>
      <w:r w:rsidR="004469F4">
        <w:rPr>
          <w:rFonts w:ascii="Times New Roman" w:hAnsi="Times New Roman" w:cs="Times New Roman"/>
          <w:sz w:val="24"/>
        </w:rPr>
        <w:t>ozhodnut</w:t>
      </w:r>
      <w:r w:rsidR="00185EAA">
        <w:rPr>
          <w:rFonts w:ascii="Times New Roman" w:hAnsi="Times New Roman" w:cs="Times New Roman"/>
          <w:sz w:val="24"/>
        </w:rPr>
        <w:t>ím</w:t>
      </w:r>
      <w:r w:rsidR="004469F4">
        <w:rPr>
          <w:rFonts w:ascii="Times New Roman" w:hAnsi="Times New Roman" w:cs="Times New Roman"/>
          <w:sz w:val="24"/>
        </w:rPr>
        <w:t xml:space="preserve"> </w:t>
      </w:r>
      <w:r w:rsidR="00AB03F5">
        <w:rPr>
          <w:rFonts w:ascii="Times New Roman" w:hAnsi="Times New Roman" w:cs="Times New Roman"/>
          <w:sz w:val="24"/>
        </w:rPr>
        <w:t>0</w:t>
      </w:r>
      <w:r w:rsidR="00185EAA">
        <w:rPr>
          <w:rFonts w:ascii="Times New Roman" w:hAnsi="Times New Roman" w:cs="Times New Roman"/>
          <w:sz w:val="24"/>
        </w:rPr>
        <w:t>1</w:t>
      </w:r>
      <w:r w:rsidR="00AB03F5">
        <w:rPr>
          <w:rFonts w:ascii="Times New Roman" w:hAnsi="Times New Roman" w:cs="Times New Roman"/>
          <w:sz w:val="24"/>
        </w:rPr>
        <w:t>0</w:t>
      </w:r>
      <w:r w:rsidR="00185EAA">
        <w:rPr>
          <w:rFonts w:ascii="Times New Roman" w:hAnsi="Times New Roman" w:cs="Times New Roman"/>
          <w:sz w:val="24"/>
        </w:rPr>
        <w:t>4</w:t>
      </w:r>
      <w:r w:rsidR="00AB03F5">
        <w:rPr>
          <w:rFonts w:ascii="Times New Roman" w:hAnsi="Times New Roman" w:cs="Times New Roman"/>
          <w:sz w:val="24"/>
        </w:rPr>
        <w:t>/20</w:t>
      </w:r>
      <w:r w:rsidR="00185EAA">
        <w:rPr>
          <w:rFonts w:ascii="Times New Roman" w:hAnsi="Times New Roman" w:cs="Times New Roman"/>
          <w:sz w:val="24"/>
        </w:rPr>
        <w:t>23</w:t>
      </w:r>
      <w:r w:rsidR="00AB03F5">
        <w:rPr>
          <w:rFonts w:ascii="Times New Roman" w:hAnsi="Times New Roman" w:cs="Times New Roman"/>
          <w:sz w:val="24"/>
        </w:rPr>
        <w:t xml:space="preserve">/V , ktoré vydal dňa </w:t>
      </w:r>
      <w:r w:rsidR="00185EAA">
        <w:rPr>
          <w:rFonts w:ascii="Times New Roman" w:hAnsi="Times New Roman" w:cs="Times New Roman"/>
          <w:sz w:val="24"/>
        </w:rPr>
        <w:t>31</w:t>
      </w:r>
      <w:r w:rsidR="00AB03F5">
        <w:rPr>
          <w:rFonts w:ascii="Times New Roman" w:hAnsi="Times New Roman" w:cs="Times New Roman"/>
          <w:sz w:val="24"/>
        </w:rPr>
        <w:t>.</w:t>
      </w:r>
      <w:r w:rsidR="00185EAA">
        <w:rPr>
          <w:rFonts w:ascii="Times New Roman" w:hAnsi="Times New Roman" w:cs="Times New Roman"/>
          <w:sz w:val="24"/>
        </w:rPr>
        <w:t>1</w:t>
      </w:r>
      <w:r w:rsidR="00AB03F5">
        <w:rPr>
          <w:rFonts w:ascii="Times New Roman" w:hAnsi="Times New Roman" w:cs="Times New Roman"/>
          <w:sz w:val="24"/>
        </w:rPr>
        <w:t>.20</w:t>
      </w:r>
      <w:r w:rsidR="00185EAA">
        <w:rPr>
          <w:rFonts w:ascii="Times New Roman" w:hAnsi="Times New Roman" w:cs="Times New Roman"/>
          <w:sz w:val="24"/>
        </w:rPr>
        <w:t>22</w:t>
      </w:r>
      <w:r w:rsidR="00AB03F5">
        <w:rPr>
          <w:rFonts w:ascii="Times New Roman" w:hAnsi="Times New Roman" w:cs="Times New Roman"/>
          <w:sz w:val="24"/>
        </w:rPr>
        <w:t xml:space="preserve"> Úrad pre reguláciu sieťových odvetví (ÚRSO) </w:t>
      </w:r>
      <w:r w:rsidR="00185EAA">
        <w:rPr>
          <w:rFonts w:ascii="Times New Roman" w:hAnsi="Times New Roman" w:cs="Times New Roman"/>
          <w:sz w:val="24"/>
        </w:rPr>
        <w:t xml:space="preserve"> sú </w:t>
      </w:r>
      <w:r w:rsidR="00AB03F5">
        <w:rPr>
          <w:rFonts w:ascii="Times New Roman" w:hAnsi="Times New Roman" w:cs="Times New Roman"/>
          <w:sz w:val="24"/>
        </w:rPr>
        <w:t>stanov</w:t>
      </w:r>
      <w:r w:rsidR="00185EAA">
        <w:rPr>
          <w:rFonts w:ascii="Times New Roman" w:hAnsi="Times New Roman" w:cs="Times New Roman"/>
          <w:sz w:val="24"/>
        </w:rPr>
        <w:t>ené maximálne</w:t>
      </w:r>
      <w:r w:rsidR="00AB03F5">
        <w:rPr>
          <w:rFonts w:ascii="Times New Roman" w:hAnsi="Times New Roman" w:cs="Times New Roman"/>
          <w:sz w:val="24"/>
        </w:rPr>
        <w:t xml:space="preserve"> cen</w:t>
      </w:r>
      <w:r w:rsidR="00185EAA">
        <w:rPr>
          <w:rFonts w:ascii="Times New Roman" w:hAnsi="Times New Roman" w:cs="Times New Roman"/>
          <w:sz w:val="24"/>
        </w:rPr>
        <w:t>y</w:t>
      </w:r>
      <w:r w:rsidR="00AB03F5">
        <w:rPr>
          <w:rFonts w:ascii="Times New Roman" w:hAnsi="Times New Roman" w:cs="Times New Roman"/>
          <w:sz w:val="24"/>
        </w:rPr>
        <w:t xml:space="preserve"> </w:t>
      </w:r>
      <w:r w:rsidR="00185EAA">
        <w:rPr>
          <w:rFonts w:ascii="Times New Roman" w:hAnsi="Times New Roman" w:cs="Times New Roman"/>
          <w:sz w:val="24"/>
        </w:rPr>
        <w:t>za výrobu a dodávku pitnej vody a maximálnu cenu za odvádzanie a čistenie odpadovej vody verejnou kanalizáciou.</w:t>
      </w:r>
    </w:p>
    <w:p w14:paraId="1118F265" w14:textId="3A3D125F" w:rsidR="00185EAA" w:rsidRDefault="00185EAA" w:rsidP="00AC57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Toto rozhodnutie je zverejnené na obecnej stránke obce Lendak. </w:t>
      </w:r>
      <w:hyperlink r:id="rId6" w:history="1">
        <w:r w:rsidRPr="00177C80">
          <w:rPr>
            <w:rStyle w:val="Hypertextovprepojenie"/>
            <w:rFonts w:ascii="Times New Roman" w:hAnsi="Times New Roman" w:cs="Times New Roman"/>
            <w:sz w:val="24"/>
          </w:rPr>
          <w:t>www.lendak.sk</w:t>
        </w:r>
      </w:hyperlink>
    </w:p>
    <w:p w14:paraId="53F6981C" w14:textId="44EDAF29" w:rsidR="00115F62" w:rsidRDefault="00115F62" w:rsidP="00AC57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rozhodnutí je určená maximálna cena za výrobu a distribúciu pitnej vody verejným vodovodom na 0,4616€/m3 a maximálna cena za odvádzanie a čistenie odpadovej vody verejnou kanalizáciou na 1,2020 €/m3. Uvedené ceny sú bez DPH.</w:t>
      </w:r>
    </w:p>
    <w:p w14:paraId="5B877584" w14:textId="2E203D77" w:rsidR="00185EAA" w:rsidRDefault="00185EAA" w:rsidP="00AC57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Prevádzkareň obce Lendak ako správca verejného vodovodu a splaškovej kanalizácie sa ako príspevková organizácia obce Lendak dohodol </w:t>
      </w:r>
      <w:r w:rsidR="0044328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o zriaďovateľom na poskytnutiu finančných prostriedkov na preklenutie energetickej krízy. Pri schvaľovaní rozpočtu nám bol</w:t>
      </w:r>
      <w:r w:rsidR="00002DB3">
        <w:rPr>
          <w:rFonts w:ascii="Times New Roman" w:hAnsi="Times New Roman" w:cs="Times New Roman"/>
          <w:sz w:val="24"/>
        </w:rPr>
        <w:t>o schválené obecným zastupiteľstvom toto poskytnutie finančných prostriedkov s podmienkou, že sa cena vodného a stočného na najbližšie fakturačné obdobie nebude meniť – zvyšovať. Výška finančných prostriedkov sa poníži o prípadné získane dotácie na energie</w:t>
      </w:r>
      <w:r w:rsidR="00115F62">
        <w:rPr>
          <w:rFonts w:ascii="Times New Roman" w:hAnsi="Times New Roman" w:cs="Times New Roman"/>
          <w:sz w:val="24"/>
        </w:rPr>
        <w:t>, ktoré poskytuje ministerstvo hospodárstva Slovenskej republiky.</w:t>
      </w:r>
      <w:r w:rsidR="00115F62">
        <w:rPr>
          <w:rFonts w:ascii="Times New Roman" w:hAnsi="Times New Roman" w:cs="Times New Roman"/>
          <w:sz w:val="24"/>
        </w:rPr>
        <w:br/>
      </w:r>
      <w:r w:rsidR="00115F62">
        <w:rPr>
          <w:rFonts w:ascii="Times New Roman" w:hAnsi="Times New Roman" w:cs="Times New Roman"/>
          <w:sz w:val="24"/>
        </w:rPr>
        <w:br/>
      </w:r>
      <w:r w:rsidR="00115F62" w:rsidRPr="00CE46FF">
        <w:rPr>
          <w:rFonts w:ascii="Times New Roman" w:hAnsi="Times New Roman" w:cs="Times New Roman"/>
          <w:b/>
          <w:bCs/>
          <w:color w:val="FF0000"/>
          <w:sz w:val="24"/>
        </w:rPr>
        <w:t>S tohto dôvodu, sa nebude meniť výška vodného ani stočného na najbližšie fakturačne obdobie.</w:t>
      </w:r>
      <w:r w:rsidR="00CE46FF">
        <w:rPr>
          <w:rFonts w:ascii="Times New Roman" w:hAnsi="Times New Roman" w:cs="Times New Roman"/>
          <w:b/>
          <w:bCs/>
          <w:color w:val="FF0000"/>
          <w:sz w:val="24"/>
        </w:rPr>
        <w:t xml:space="preserve"> Teda ceny ostávajú pri vodnom na hodnote 0,39 €/m3  a pri stočnom 0,90 €/m3 bez DPH. </w:t>
      </w:r>
      <w:r w:rsidR="00115F62">
        <w:rPr>
          <w:rFonts w:ascii="Times New Roman" w:hAnsi="Times New Roman" w:cs="Times New Roman"/>
          <w:sz w:val="24"/>
        </w:rPr>
        <w:t xml:space="preserve"> Zverejnenie rozhodnutia Úradu pre reguláciu sieťových odvetví je teda len informatívne. Veríme, že energetická kríza pominie </w:t>
      </w:r>
      <w:r w:rsidR="00CE46FF">
        <w:rPr>
          <w:rFonts w:ascii="Times New Roman" w:hAnsi="Times New Roman" w:cs="Times New Roman"/>
          <w:sz w:val="24"/>
        </w:rPr>
        <w:t>a aktuálne vysoké náklady na prevádzkovanie splaškovej kanalizácie, čistiarne odpadových vôd a dodávku pitnej vody sa ponížia.</w:t>
      </w:r>
      <w:r w:rsidR="00115F62">
        <w:rPr>
          <w:rFonts w:ascii="Times New Roman" w:hAnsi="Times New Roman" w:cs="Times New Roman"/>
          <w:sz w:val="24"/>
        </w:rPr>
        <w:t xml:space="preserve"> </w:t>
      </w:r>
    </w:p>
    <w:p w14:paraId="008F38D7" w14:textId="77777777" w:rsidR="00AF2625" w:rsidRDefault="00AF2625" w:rsidP="00AF2625">
      <w:pPr>
        <w:rPr>
          <w:rFonts w:ascii="Times New Roman" w:hAnsi="Times New Roman" w:cs="Times New Roman"/>
          <w:sz w:val="24"/>
        </w:rPr>
      </w:pPr>
    </w:p>
    <w:p w14:paraId="11843174" w14:textId="79651517" w:rsidR="005B4739" w:rsidRDefault="00CE46FF" w:rsidP="00AF26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Ing. Peter Budzák</w:t>
      </w:r>
    </w:p>
    <w:p w14:paraId="35E713DC" w14:textId="6B274393" w:rsidR="00CE46FF" w:rsidRDefault="00CE46FF" w:rsidP="00AF26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Vedúci Prevádzkarne obce Lendak</w:t>
      </w:r>
    </w:p>
    <w:p w14:paraId="1769DC1A" w14:textId="77777777" w:rsidR="00B43BD7" w:rsidRPr="00AF2625" w:rsidRDefault="00B43BD7" w:rsidP="00567471">
      <w:pPr>
        <w:ind w:left="4248" w:firstLine="708"/>
        <w:rPr>
          <w:rFonts w:ascii="Times New Roman" w:hAnsi="Times New Roman" w:cs="Times New Roman"/>
          <w:sz w:val="24"/>
        </w:rPr>
      </w:pPr>
    </w:p>
    <w:sectPr w:rsidR="00B43BD7" w:rsidRPr="00AF26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5E84" w14:textId="77777777" w:rsidR="00D8501D" w:rsidRDefault="00D8501D" w:rsidP="00AF2625">
      <w:pPr>
        <w:spacing w:after="0" w:line="240" w:lineRule="auto"/>
      </w:pPr>
      <w:r>
        <w:separator/>
      </w:r>
    </w:p>
  </w:endnote>
  <w:endnote w:type="continuationSeparator" w:id="0">
    <w:p w14:paraId="29D4D833" w14:textId="77777777" w:rsidR="00D8501D" w:rsidRDefault="00D8501D" w:rsidP="00AF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512"/>
      <w:gridCol w:w="1512"/>
      <w:gridCol w:w="1512"/>
      <w:gridCol w:w="1512"/>
      <w:gridCol w:w="1512"/>
      <w:gridCol w:w="1512"/>
    </w:tblGrid>
    <w:tr w:rsidR="00AF2625" w14:paraId="0FAE6394" w14:textId="77777777" w:rsidTr="0054614A">
      <w:tc>
        <w:tcPr>
          <w:tcW w:w="1512" w:type="dxa"/>
          <w:shd w:val="clear" w:color="auto" w:fill="EA0000"/>
        </w:tcPr>
        <w:p w14:paraId="033E4F57" w14:textId="77777777" w:rsidR="00AF2625" w:rsidRDefault="00AF2625" w:rsidP="00AF2625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12" w:type="dxa"/>
          <w:shd w:val="clear" w:color="auto" w:fill="FFFF00"/>
        </w:tcPr>
        <w:p w14:paraId="08767867" w14:textId="77777777" w:rsidR="00AF2625" w:rsidRDefault="00AF2625" w:rsidP="00AF2625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12" w:type="dxa"/>
          <w:shd w:val="clear" w:color="auto" w:fill="000080"/>
        </w:tcPr>
        <w:p w14:paraId="43F5B8F3" w14:textId="77777777" w:rsidR="00AF2625" w:rsidRDefault="00AF2625" w:rsidP="00AF2625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12" w:type="dxa"/>
          <w:shd w:val="clear" w:color="auto" w:fill="000080"/>
        </w:tcPr>
        <w:p w14:paraId="44C50F38" w14:textId="77777777" w:rsidR="00AF2625" w:rsidRDefault="00AF2625" w:rsidP="00AF2625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12" w:type="dxa"/>
          <w:shd w:val="clear" w:color="auto" w:fill="FFFF00"/>
        </w:tcPr>
        <w:p w14:paraId="56E5B6CD" w14:textId="77777777" w:rsidR="00AF2625" w:rsidRDefault="00AF2625" w:rsidP="00AF2625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12" w:type="dxa"/>
          <w:shd w:val="clear" w:color="auto" w:fill="EA0000"/>
        </w:tcPr>
        <w:p w14:paraId="45A2C00C" w14:textId="77777777" w:rsidR="00AF2625" w:rsidRDefault="00AF2625" w:rsidP="00AF2625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</w:tr>
  </w:tbl>
  <w:p w14:paraId="302EE8BA" w14:textId="77777777" w:rsidR="0054614A" w:rsidRDefault="0054614A" w:rsidP="0054614A">
    <w:pPr>
      <w:pStyle w:val="Adresaprjemcu"/>
      <w:tabs>
        <w:tab w:val="left" w:pos="900"/>
      </w:tabs>
      <w:spacing w:before="120"/>
      <w:jc w:val="center"/>
      <w:rPr>
        <w:color w:val="000080"/>
        <w:sz w:val="20"/>
        <w:szCs w:val="20"/>
      </w:rPr>
    </w:pPr>
    <w:r>
      <w:rPr>
        <w:b/>
        <w:sz w:val="20"/>
        <w:szCs w:val="20"/>
      </w:rPr>
      <w:t>Adresa:</w:t>
    </w:r>
    <w:r>
      <w:rPr>
        <w:sz w:val="20"/>
        <w:szCs w:val="20"/>
      </w:rPr>
      <w:t xml:space="preserve"> Prevádzkareň obce Lendak, Revolučná 1285/1A, 059 07 Lendak </w:t>
    </w:r>
    <w:r>
      <w:rPr>
        <w:b/>
        <w:sz w:val="20"/>
        <w:szCs w:val="20"/>
      </w:rPr>
      <w:t xml:space="preserve">IČO: </w:t>
    </w:r>
    <w:r w:rsidRPr="004C221B">
      <w:rPr>
        <w:sz w:val="20"/>
        <w:szCs w:val="20"/>
      </w:rPr>
      <w:t>35</w:t>
    </w:r>
    <w:r>
      <w:rPr>
        <w:sz w:val="20"/>
        <w:szCs w:val="20"/>
      </w:rPr>
      <w:t> </w:t>
    </w:r>
    <w:r w:rsidRPr="004C221B">
      <w:rPr>
        <w:sz w:val="20"/>
        <w:szCs w:val="20"/>
      </w:rPr>
      <w:t>514</w:t>
    </w:r>
    <w:r>
      <w:rPr>
        <w:sz w:val="20"/>
        <w:szCs w:val="20"/>
      </w:rPr>
      <w:t xml:space="preserve"> </w:t>
    </w:r>
    <w:r w:rsidRPr="004C221B">
      <w:rPr>
        <w:sz w:val="20"/>
        <w:szCs w:val="20"/>
      </w:rPr>
      <w:t>698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 xml:space="preserve">DIČ: </w:t>
    </w:r>
    <w:r w:rsidRPr="006C6757">
      <w:rPr>
        <w:sz w:val="20"/>
        <w:szCs w:val="20"/>
      </w:rPr>
      <w:t>2020710263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 xml:space="preserve">Bankové spojenie: </w:t>
    </w:r>
    <w:proofErr w:type="spellStart"/>
    <w:r>
      <w:rPr>
        <w:sz w:val="20"/>
        <w:szCs w:val="20"/>
      </w:rPr>
      <w:t>Fio</w:t>
    </w:r>
    <w:proofErr w:type="spellEnd"/>
    <w:r>
      <w:rPr>
        <w:sz w:val="20"/>
        <w:szCs w:val="20"/>
      </w:rPr>
      <w:t xml:space="preserve"> banka, a.s.; </w:t>
    </w:r>
    <w:r>
      <w:rPr>
        <w:b/>
        <w:sz w:val="20"/>
        <w:szCs w:val="20"/>
      </w:rPr>
      <w:t xml:space="preserve">IBAN: </w:t>
    </w:r>
    <w:r w:rsidRPr="006C6757">
      <w:rPr>
        <w:sz w:val="20"/>
        <w:szCs w:val="20"/>
      </w:rPr>
      <w:t>SK</w:t>
    </w:r>
    <w:r>
      <w:rPr>
        <w:sz w:val="20"/>
        <w:szCs w:val="20"/>
      </w:rPr>
      <w:t xml:space="preserve">43 8330 </w:t>
    </w:r>
    <w:r w:rsidRPr="006C6757">
      <w:rPr>
        <w:sz w:val="20"/>
        <w:szCs w:val="20"/>
      </w:rPr>
      <w:t>0000</w:t>
    </w:r>
    <w:r>
      <w:rPr>
        <w:sz w:val="20"/>
        <w:szCs w:val="20"/>
      </w:rPr>
      <w:t xml:space="preserve"> </w:t>
    </w:r>
    <w:r w:rsidRPr="006C6757">
      <w:rPr>
        <w:sz w:val="20"/>
        <w:szCs w:val="20"/>
      </w:rPr>
      <w:t>00</w:t>
    </w:r>
    <w:r>
      <w:rPr>
        <w:sz w:val="20"/>
        <w:szCs w:val="20"/>
      </w:rPr>
      <w:t xml:space="preserve">25 0146 6262;  </w:t>
    </w:r>
    <w:r>
      <w:rPr>
        <w:sz w:val="20"/>
        <w:szCs w:val="20"/>
      </w:rPr>
      <w:br/>
    </w:r>
    <w:r>
      <w:rPr>
        <w:b/>
        <w:sz w:val="20"/>
        <w:szCs w:val="20"/>
      </w:rPr>
      <w:t xml:space="preserve">Tel.: </w:t>
    </w:r>
    <w:r w:rsidRPr="006C6757">
      <w:rPr>
        <w:sz w:val="20"/>
        <w:szCs w:val="20"/>
      </w:rPr>
      <w:t>+421 52 4596 443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 xml:space="preserve">E-mail: </w:t>
    </w:r>
    <w:hyperlink r:id="rId1" w:history="1">
      <w:r w:rsidRPr="00D467D9">
        <w:rPr>
          <w:rStyle w:val="Hypertextovprepojenie"/>
          <w:sz w:val="20"/>
          <w:szCs w:val="20"/>
        </w:rPr>
        <w:t>prolendak@stonline.sk</w:t>
      </w:r>
    </w:hyperlink>
    <w:r>
      <w:rPr>
        <w:sz w:val="20"/>
        <w:szCs w:val="20"/>
      </w:rPr>
      <w:t xml:space="preserve">; </w:t>
    </w:r>
    <w:proofErr w:type="spellStart"/>
    <w:r>
      <w:rPr>
        <w:b/>
        <w:sz w:val="20"/>
        <w:szCs w:val="20"/>
      </w:rPr>
      <w:t>www</w:t>
    </w:r>
    <w:proofErr w:type="spellEnd"/>
    <w:r>
      <w:rPr>
        <w:b/>
        <w:sz w:val="20"/>
        <w:szCs w:val="20"/>
      </w:rPr>
      <w:t xml:space="preserve"> stránka obce: </w:t>
    </w:r>
    <w:hyperlink r:id="rId2" w:history="1">
      <w:r>
        <w:rPr>
          <w:rStyle w:val="Hypertextovprepojenie"/>
          <w:color w:val="000080"/>
          <w:sz w:val="20"/>
          <w:szCs w:val="20"/>
        </w:rPr>
        <w:t>www.lendak.sk</w:t>
      </w:r>
    </w:hyperlink>
  </w:p>
  <w:p w14:paraId="12A2F7BF" w14:textId="77777777" w:rsidR="00AF2625" w:rsidRDefault="00AF2625" w:rsidP="0054614A">
    <w:pPr>
      <w:pStyle w:val="Adresaprjemcu"/>
      <w:tabs>
        <w:tab w:val="left" w:pos="900"/>
      </w:tabs>
      <w:spacing w:before="120"/>
      <w:jc w:val="center"/>
      <w:rPr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F6BB" w14:textId="77777777" w:rsidR="00D8501D" w:rsidRDefault="00D8501D" w:rsidP="00AF2625">
      <w:pPr>
        <w:spacing w:after="0" w:line="240" w:lineRule="auto"/>
      </w:pPr>
      <w:r>
        <w:separator/>
      </w:r>
    </w:p>
  </w:footnote>
  <w:footnote w:type="continuationSeparator" w:id="0">
    <w:p w14:paraId="01C85082" w14:textId="77777777" w:rsidR="00D8501D" w:rsidRDefault="00D8501D" w:rsidP="00AF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7819" w14:textId="77777777" w:rsidR="00AF2625" w:rsidRDefault="00AF2625" w:rsidP="00AF2625">
    <w:pPr>
      <w:pStyle w:val="Hlavika"/>
      <w:jc w:val="center"/>
      <w:rPr>
        <w:b/>
        <w:sz w:val="28"/>
        <w:szCs w:val="40"/>
      </w:rPr>
    </w:pPr>
  </w:p>
  <w:p w14:paraId="5DDA1067" w14:textId="77777777" w:rsidR="00AF2625" w:rsidRPr="00AF2625" w:rsidRDefault="00AF2625" w:rsidP="00AF2625">
    <w:pPr>
      <w:pStyle w:val="Hlavika"/>
      <w:jc w:val="center"/>
      <w:rPr>
        <w:rFonts w:ascii="Times New Roman" w:hAnsi="Times New Roman" w:cs="Times New Roman"/>
        <w:b/>
        <w:sz w:val="28"/>
        <w:szCs w:val="40"/>
      </w:rPr>
    </w:pPr>
    <w:r w:rsidRPr="00AF2625">
      <w:rPr>
        <w:rFonts w:ascii="Times New Roman" w:hAnsi="Times New Roman" w:cs="Times New Roman"/>
        <w:b/>
        <w:noProof/>
        <w:sz w:val="28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CE07E" wp14:editId="4F8D2DD2">
              <wp:simplePos x="0" y="0"/>
              <wp:positionH relativeFrom="page">
                <wp:posOffset>328930</wp:posOffset>
              </wp:positionH>
              <wp:positionV relativeFrom="page">
                <wp:posOffset>262890</wp:posOffset>
              </wp:positionV>
              <wp:extent cx="991235" cy="951230"/>
              <wp:effectExtent l="0" t="0" r="3175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3A86D" w14:textId="77777777" w:rsidR="00AF2625" w:rsidRDefault="00AF2625" w:rsidP="00AF2625">
                          <w:r>
                            <w:rPr>
                              <w:noProof/>
                              <w:szCs w:val="20"/>
                            </w:rPr>
                            <w:drawing>
                              <wp:inline distT="0" distB="0" distL="0" distR="0" wp14:anchorId="240ED3B0" wp14:editId="67DBD622">
                                <wp:extent cx="809625" cy="866775"/>
                                <wp:effectExtent l="0" t="0" r="9525" b="9525"/>
                                <wp:docPr id="1" name="Obrázok 1" descr="Lend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 descr="Lend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CE07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5.9pt;margin-top:20.7pt;width:78.05pt;height:74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" filled="f" stroked="f">
              <v:textbox>
                <w:txbxContent>
                  <w:p w14:paraId="7623A86D" w14:textId="77777777" w:rsidR="00AF2625" w:rsidRDefault="00AF2625" w:rsidP="00AF2625">
                    <w:r>
                      <w:rPr>
                        <w:noProof/>
                        <w:szCs w:val="20"/>
                      </w:rPr>
                      <w:drawing>
                        <wp:inline distT="0" distB="0" distL="0" distR="0" wp14:anchorId="240ED3B0" wp14:editId="67DBD622">
                          <wp:extent cx="809625" cy="866775"/>
                          <wp:effectExtent l="0" t="0" r="9525" b="9525"/>
                          <wp:docPr id="1" name="Obrázok 1" descr="Lend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 descr="Lend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614A">
      <w:rPr>
        <w:rFonts w:ascii="Times New Roman" w:hAnsi="Times New Roman" w:cs="Times New Roman"/>
        <w:b/>
        <w:sz w:val="28"/>
        <w:szCs w:val="40"/>
      </w:rPr>
      <w:t xml:space="preserve">      </w:t>
    </w:r>
    <w:r w:rsidRPr="00AF2625">
      <w:rPr>
        <w:rFonts w:ascii="Times New Roman" w:hAnsi="Times New Roman" w:cs="Times New Roman"/>
        <w:b/>
        <w:sz w:val="28"/>
        <w:szCs w:val="40"/>
      </w:rPr>
      <w:t xml:space="preserve">Prevádzkareň obce Lendak </w:t>
    </w:r>
    <w:proofErr w:type="spellStart"/>
    <w:r w:rsidRPr="00AF2625">
      <w:rPr>
        <w:rFonts w:ascii="Times New Roman" w:hAnsi="Times New Roman" w:cs="Times New Roman"/>
        <w:b/>
        <w:sz w:val="28"/>
        <w:szCs w:val="40"/>
      </w:rPr>
      <w:t>p.o</w:t>
    </w:r>
    <w:proofErr w:type="spellEnd"/>
    <w:r w:rsidRPr="00AF2625">
      <w:rPr>
        <w:rFonts w:ascii="Times New Roman" w:hAnsi="Times New Roman" w:cs="Times New Roman"/>
        <w:b/>
        <w:sz w:val="28"/>
        <w:szCs w:val="40"/>
      </w:rPr>
      <w:t xml:space="preserve">., </w:t>
    </w:r>
    <w:r w:rsidR="0054614A">
      <w:rPr>
        <w:rFonts w:ascii="Times New Roman" w:hAnsi="Times New Roman" w:cs="Times New Roman"/>
        <w:b/>
        <w:sz w:val="28"/>
        <w:szCs w:val="40"/>
      </w:rPr>
      <w:t>Revolučná 1285/1A</w:t>
    </w:r>
    <w:r w:rsidRPr="00AF2625">
      <w:rPr>
        <w:rFonts w:ascii="Times New Roman" w:hAnsi="Times New Roman" w:cs="Times New Roman"/>
        <w:b/>
        <w:sz w:val="28"/>
        <w:szCs w:val="40"/>
      </w:rPr>
      <w:t>, 059 07 Lendak</w:t>
    </w:r>
  </w:p>
  <w:tbl>
    <w:tblPr>
      <w:tblW w:w="0" w:type="auto"/>
      <w:tblInd w:w="828" w:type="dxa"/>
      <w:tblLook w:val="01E0" w:firstRow="1" w:lastRow="1" w:firstColumn="1" w:lastColumn="1" w:noHBand="0" w:noVBand="0"/>
    </w:tblPr>
    <w:tblGrid>
      <w:gridCol w:w="774"/>
      <w:gridCol w:w="1494"/>
      <w:gridCol w:w="1494"/>
      <w:gridCol w:w="1494"/>
      <w:gridCol w:w="1494"/>
      <w:gridCol w:w="1494"/>
    </w:tblGrid>
    <w:tr w:rsidR="00AF2625" w14:paraId="51A525F9" w14:textId="77777777" w:rsidTr="00847C1B">
      <w:tc>
        <w:tcPr>
          <w:tcW w:w="857" w:type="dxa"/>
          <w:shd w:val="clear" w:color="auto" w:fill="EA0000"/>
        </w:tcPr>
        <w:p w14:paraId="11B41789" w14:textId="77777777" w:rsidR="00AF2625" w:rsidRDefault="00AF2625" w:rsidP="00AF2625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5" w:type="dxa"/>
          <w:shd w:val="clear" w:color="auto" w:fill="FFFF00"/>
        </w:tcPr>
        <w:p w14:paraId="44F7AD9F" w14:textId="77777777" w:rsidR="00AF2625" w:rsidRDefault="00AF2625" w:rsidP="00AF2625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5" w:type="dxa"/>
          <w:shd w:val="clear" w:color="auto" w:fill="000080"/>
        </w:tcPr>
        <w:p w14:paraId="6CCC9835" w14:textId="77777777" w:rsidR="00AF2625" w:rsidRDefault="00AF2625" w:rsidP="00AF2625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000080"/>
        </w:tcPr>
        <w:p w14:paraId="7FF81539" w14:textId="77777777" w:rsidR="00AF2625" w:rsidRDefault="00AF2625" w:rsidP="00AF2625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FFFF00"/>
        </w:tcPr>
        <w:p w14:paraId="6B53222B" w14:textId="77777777" w:rsidR="00AF2625" w:rsidRDefault="00AF2625" w:rsidP="00AF2625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EA0000"/>
        </w:tcPr>
        <w:p w14:paraId="6F52AC33" w14:textId="77777777" w:rsidR="00AF2625" w:rsidRDefault="00AF2625" w:rsidP="00AF2625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</w:tr>
  </w:tbl>
  <w:p w14:paraId="47AEAEA1" w14:textId="77777777" w:rsidR="00AF2625" w:rsidRDefault="00AF262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25"/>
    <w:rsid w:val="00002DB3"/>
    <w:rsid w:val="00115F62"/>
    <w:rsid w:val="00126997"/>
    <w:rsid w:val="00130B48"/>
    <w:rsid w:val="00185EAA"/>
    <w:rsid w:val="00294A16"/>
    <w:rsid w:val="002B15C0"/>
    <w:rsid w:val="002F1019"/>
    <w:rsid w:val="00351FE7"/>
    <w:rsid w:val="00443281"/>
    <w:rsid w:val="004469F4"/>
    <w:rsid w:val="00502D97"/>
    <w:rsid w:val="0054614A"/>
    <w:rsid w:val="00554298"/>
    <w:rsid w:val="00567471"/>
    <w:rsid w:val="005B4739"/>
    <w:rsid w:val="005D1042"/>
    <w:rsid w:val="00667E42"/>
    <w:rsid w:val="006B109D"/>
    <w:rsid w:val="00717231"/>
    <w:rsid w:val="00717AD8"/>
    <w:rsid w:val="0076569F"/>
    <w:rsid w:val="0078074A"/>
    <w:rsid w:val="007A123D"/>
    <w:rsid w:val="007B0DE6"/>
    <w:rsid w:val="007B3310"/>
    <w:rsid w:val="00862EC0"/>
    <w:rsid w:val="00A21898"/>
    <w:rsid w:val="00A86E01"/>
    <w:rsid w:val="00AB03F5"/>
    <w:rsid w:val="00AC5738"/>
    <w:rsid w:val="00AF2625"/>
    <w:rsid w:val="00B43BD7"/>
    <w:rsid w:val="00B51FB8"/>
    <w:rsid w:val="00B63C25"/>
    <w:rsid w:val="00B85DB5"/>
    <w:rsid w:val="00CE46FF"/>
    <w:rsid w:val="00CF5C70"/>
    <w:rsid w:val="00D8501D"/>
    <w:rsid w:val="00DA1931"/>
    <w:rsid w:val="00D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537A6"/>
  <w15:chartTrackingRefBased/>
  <w15:docId w15:val="{6798246C-FA30-4E55-A7CC-95D10AF5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F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2625"/>
  </w:style>
  <w:style w:type="paragraph" w:styleId="Pta">
    <w:name w:val="footer"/>
    <w:basedOn w:val="Normlny"/>
    <w:link w:val="PtaChar"/>
    <w:unhideWhenUsed/>
    <w:rsid w:val="00AF2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F2625"/>
  </w:style>
  <w:style w:type="paragraph" w:customStyle="1" w:styleId="Adresaprjemcu">
    <w:name w:val="Adresa príjemcu"/>
    <w:basedOn w:val="Normlny"/>
    <w:rsid w:val="00AF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textovprepojenie">
    <w:name w:val="Hyperlink"/>
    <w:rsid w:val="00AF2625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67471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50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dak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dak.sk" TargetMode="External"/><Relationship Id="rId1" Type="http://schemas.openxmlformats.org/officeDocument/2006/relationships/hyperlink" Target="mailto:prolendak@stonlin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Prevadzkaren Lendak</dc:creator>
  <cp:keywords/>
  <dc:description/>
  <cp:lastModifiedBy>peter.budzak@lendak.sk</cp:lastModifiedBy>
  <cp:revision>4</cp:revision>
  <cp:lastPrinted>2020-05-04T08:45:00Z</cp:lastPrinted>
  <dcterms:created xsi:type="dcterms:W3CDTF">2023-02-24T09:49:00Z</dcterms:created>
  <dcterms:modified xsi:type="dcterms:W3CDTF">2023-02-24T10:28:00Z</dcterms:modified>
</cp:coreProperties>
</file>